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22 JANUARY 2026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PANEL OF FORENSIC INVESTIGATORS TO CONDUCT FORENSIC INVESTIGATIONS ON BEHALF OF THE NHBRC FOR A PERIOD OF THREE (03) YEARS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(FS- BLOEMFONTEIN)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SNG Grant Thornton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5B6CD5B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5BEBAD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A3CB83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Open Water Advanced Risk Solution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90CC25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486F8770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002DD4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17B5E61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Abalandi Risk Management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0F113EC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6DA5C10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30C721D8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1C54F7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PricewaterCoopers Inc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FA18B6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29D88FA8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3CAD63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27E9B10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Pro I</w:t>
                  </w:r>
                  <w:bookmarkStart w:id="0" w:name="_GoBack"/>
                  <w:bookmarkEnd w:id="0"/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ustitia Forensic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62E28272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One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(0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35C3578B"/>
    <w:rsid w:val="396F3252"/>
    <w:rsid w:val="3DB00435"/>
    <w:rsid w:val="4711312A"/>
    <w:rsid w:val="4AB73F12"/>
    <w:rsid w:val="4EB81831"/>
    <w:rsid w:val="5705514F"/>
    <w:rsid w:val="62EC64BB"/>
    <w:rsid w:val="6D3A0892"/>
    <w:rsid w:val="6D7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26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2026-01-22T11:37:06Z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579EACA8EA5F4B7198500322F7821804_13</vt:lpwstr>
  </property>
</Properties>
</file>