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3663C" w14:textId="77777777" w:rsidR="00B2192D" w:rsidRDefault="00A07BB6">
      <w:pPr>
        <w:jc w:val="center"/>
      </w:pPr>
      <w:r>
        <w:rPr>
          <w:b/>
          <w:sz w:val="28"/>
        </w:rPr>
        <w:t>NHBRC – SECURITY INFRASTRUCTURE &amp; SERVICE REQUIREMENTS</w:t>
      </w:r>
    </w:p>
    <w:p w14:paraId="6265C544" w14:textId="77777777" w:rsidR="00B2192D" w:rsidRDefault="00A07BB6">
      <w:pPr>
        <w:jc w:val="center"/>
      </w:pPr>
      <w:r>
        <w:rPr>
          <w:b/>
          <w:sz w:val="22"/>
        </w:rPr>
        <w:t>Tenderer Clarification / Question and Answer Schedule</w:t>
      </w:r>
    </w:p>
    <w:p w14:paraId="754DA7C1" w14:textId="77777777" w:rsidR="00B2192D" w:rsidRDefault="00A07BB6">
      <w:pPr>
        <w:spacing w:after="160"/>
      </w:pPr>
      <w:r>
        <w:t>The following information is provided to tenderers to support the sizing, design and proposal of the required security solution. Sensitive vendor-specific information, product versions and detailed infrastructure configurations are intentionally excluded where indicated for security considerations.</w:t>
      </w:r>
    </w:p>
    <w:tbl>
      <w:tblPr>
        <w:tblW w:w="0" w:type="auto"/>
        <w:jc w:val="center"/>
        <w:tblLayout w:type="fixed"/>
        <w:tblLook w:val="04A0" w:firstRow="1" w:lastRow="0" w:firstColumn="1" w:lastColumn="0" w:noHBand="0" w:noVBand="1"/>
      </w:tblPr>
      <w:tblGrid>
        <w:gridCol w:w="2556"/>
        <w:gridCol w:w="2556"/>
        <w:gridCol w:w="3384"/>
        <w:gridCol w:w="5688"/>
      </w:tblGrid>
      <w:tr w:rsidR="00B2192D" w14:paraId="1451F2A5" w14:textId="77777777">
        <w:trPr>
          <w:jc w:val="center"/>
        </w:trPr>
        <w:tc>
          <w:tcPr>
            <w:tcW w:w="2556" w:type="dxa"/>
            <w:tcBorders>
              <w:top w:val="single" w:sz="4" w:space="0" w:color="A6A6A6"/>
              <w:left w:val="single" w:sz="4" w:space="0" w:color="A6A6A6"/>
              <w:bottom w:val="single" w:sz="4" w:space="0" w:color="A6A6A6"/>
              <w:right w:val="single" w:sz="4" w:space="0" w:color="A6A6A6"/>
            </w:tcBorders>
            <w:shd w:val="clear" w:color="auto" w:fill="D9E2F3"/>
            <w:vAlign w:val="center"/>
          </w:tcPr>
          <w:p w14:paraId="3F298017" w14:textId="77777777" w:rsidR="00B2192D" w:rsidRDefault="00A07BB6">
            <w:pPr>
              <w:jc w:val="center"/>
            </w:pPr>
            <w:r>
              <w:rPr>
                <w:b/>
                <w:sz w:val="20"/>
              </w:rPr>
              <w:t>No.</w:t>
            </w:r>
          </w:p>
        </w:tc>
        <w:tc>
          <w:tcPr>
            <w:tcW w:w="2556" w:type="dxa"/>
            <w:tcBorders>
              <w:top w:val="single" w:sz="4" w:space="0" w:color="A6A6A6"/>
              <w:left w:val="single" w:sz="4" w:space="0" w:color="A6A6A6"/>
              <w:bottom w:val="single" w:sz="4" w:space="0" w:color="A6A6A6"/>
              <w:right w:val="single" w:sz="4" w:space="0" w:color="A6A6A6"/>
            </w:tcBorders>
            <w:shd w:val="clear" w:color="auto" w:fill="D9E2F3"/>
            <w:vAlign w:val="center"/>
          </w:tcPr>
          <w:p w14:paraId="3623B844" w14:textId="77777777" w:rsidR="00B2192D" w:rsidRDefault="00A07BB6">
            <w:pPr>
              <w:jc w:val="center"/>
            </w:pPr>
            <w:r>
              <w:rPr>
                <w:b/>
                <w:sz w:val="20"/>
              </w:rPr>
              <w:t>Requirement Area</w:t>
            </w:r>
          </w:p>
        </w:tc>
        <w:tc>
          <w:tcPr>
            <w:tcW w:w="2556" w:type="dxa"/>
            <w:tcBorders>
              <w:top w:val="single" w:sz="4" w:space="0" w:color="A6A6A6"/>
              <w:left w:val="single" w:sz="4" w:space="0" w:color="A6A6A6"/>
              <w:bottom w:val="single" w:sz="4" w:space="0" w:color="A6A6A6"/>
              <w:right w:val="single" w:sz="4" w:space="0" w:color="A6A6A6"/>
            </w:tcBorders>
            <w:shd w:val="clear" w:color="auto" w:fill="D9E2F3"/>
            <w:vAlign w:val="center"/>
          </w:tcPr>
          <w:p w14:paraId="1360CE3D" w14:textId="77777777" w:rsidR="00B2192D" w:rsidRDefault="00A07BB6">
            <w:pPr>
              <w:jc w:val="center"/>
            </w:pPr>
            <w:r>
              <w:rPr>
                <w:b/>
                <w:sz w:val="20"/>
              </w:rPr>
              <w:t>Question / Information Required</w:t>
            </w:r>
          </w:p>
        </w:tc>
        <w:tc>
          <w:tcPr>
            <w:tcW w:w="2556" w:type="dxa"/>
            <w:tcBorders>
              <w:top w:val="single" w:sz="4" w:space="0" w:color="A6A6A6"/>
              <w:left w:val="single" w:sz="4" w:space="0" w:color="A6A6A6"/>
              <w:bottom w:val="single" w:sz="4" w:space="0" w:color="A6A6A6"/>
              <w:right w:val="single" w:sz="4" w:space="0" w:color="A6A6A6"/>
            </w:tcBorders>
            <w:shd w:val="clear" w:color="auto" w:fill="D9E2F3"/>
            <w:vAlign w:val="center"/>
          </w:tcPr>
          <w:p w14:paraId="03D4C338" w14:textId="77777777" w:rsidR="00B2192D" w:rsidRDefault="00A07BB6">
            <w:pPr>
              <w:jc w:val="center"/>
            </w:pPr>
            <w:r>
              <w:rPr>
                <w:b/>
                <w:sz w:val="20"/>
              </w:rPr>
              <w:t>NHBRC Response</w:t>
            </w:r>
          </w:p>
        </w:tc>
      </w:tr>
      <w:tr w:rsidR="00B2192D" w14:paraId="69B399A5"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26D6595E" w14:textId="77777777" w:rsidR="00B2192D" w:rsidRDefault="00A07BB6">
            <w:pPr>
              <w:spacing w:after="40" w:line="240" w:lineRule="auto"/>
              <w:jc w:val="center"/>
            </w:pPr>
            <w:r>
              <w:rPr>
                <w:sz w:val="19"/>
              </w:rPr>
              <w:t>1</w:t>
            </w:r>
          </w:p>
        </w:tc>
        <w:tc>
          <w:tcPr>
            <w:tcW w:w="2376" w:type="dxa"/>
            <w:tcBorders>
              <w:top w:val="single" w:sz="4" w:space="0" w:color="A6A6A6"/>
              <w:left w:val="single" w:sz="4" w:space="0" w:color="A6A6A6"/>
              <w:bottom w:val="single" w:sz="4" w:space="0" w:color="A6A6A6"/>
              <w:right w:val="single" w:sz="4" w:space="0" w:color="A6A6A6"/>
            </w:tcBorders>
          </w:tcPr>
          <w:p w14:paraId="082F322F" w14:textId="77777777" w:rsidR="00B2192D" w:rsidRDefault="00A07BB6">
            <w:pPr>
              <w:spacing w:after="40" w:line="240" w:lineRule="auto"/>
            </w:pPr>
            <w:r>
              <w:rPr>
                <w:b/>
                <w:sz w:val="19"/>
              </w:rPr>
              <w:t>Existing Security Infrastructure</w:t>
            </w:r>
          </w:p>
        </w:tc>
        <w:tc>
          <w:tcPr>
            <w:tcW w:w="3384" w:type="dxa"/>
            <w:tcBorders>
              <w:top w:val="single" w:sz="4" w:space="0" w:color="A6A6A6"/>
              <w:left w:val="single" w:sz="4" w:space="0" w:color="A6A6A6"/>
              <w:bottom w:val="single" w:sz="4" w:space="0" w:color="A6A6A6"/>
              <w:right w:val="single" w:sz="4" w:space="0" w:color="A6A6A6"/>
            </w:tcBorders>
          </w:tcPr>
          <w:p w14:paraId="15A4F00C" w14:textId="77777777" w:rsidR="00B2192D" w:rsidRDefault="00A07BB6">
            <w:pPr>
              <w:spacing w:after="40" w:line="240" w:lineRule="auto"/>
            </w:pPr>
            <w:r>
              <w:rPr>
                <w:sz w:val="19"/>
              </w:rPr>
              <w:t>What is the current security infrastructure environment?</w:t>
            </w:r>
          </w:p>
        </w:tc>
        <w:tc>
          <w:tcPr>
            <w:tcW w:w="5688" w:type="dxa"/>
            <w:tcBorders>
              <w:top w:val="single" w:sz="4" w:space="0" w:color="A6A6A6"/>
              <w:left w:val="single" w:sz="4" w:space="0" w:color="A6A6A6"/>
              <w:bottom w:val="single" w:sz="4" w:space="0" w:color="A6A6A6"/>
              <w:right w:val="single" w:sz="4" w:space="0" w:color="A6A6A6"/>
            </w:tcBorders>
          </w:tcPr>
          <w:p w14:paraId="7399ADF6" w14:textId="77777777" w:rsidR="00B2192D" w:rsidRDefault="00A07BB6">
            <w:pPr>
              <w:spacing w:after="40" w:line="240" w:lineRule="auto"/>
            </w:pPr>
            <w:r>
              <w:rPr>
                <w:sz w:val="19"/>
              </w:rPr>
              <w:t>NHBRC currently utilises a hybrid security architecture comprising on-premises and cloud-based security solutions. Detailed vendor information, product versions and infrastructure configurations will not be disclosed as part of this tender process due to security considerations. Tenderers are expected to propose solutions based on industry best practices and the requirements contained within the RFP.</w:t>
            </w:r>
          </w:p>
        </w:tc>
      </w:tr>
      <w:tr w:rsidR="00B2192D" w14:paraId="387B27A7"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2A1A42B5" w14:textId="77777777" w:rsidR="00B2192D" w:rsidRDefault="00A07BB6">
            <w:pPr>
              <w:spacing w:after="40" w:line="240" w:lineRule="auto"/>
              <w:jc w:val="center"/>
            </w:pPr>
            <w:r>
              <w:rPr>
                <w:sz w:val="19"/>
              </w:rPr>
              <w:t>2</w:t>
            </w:r>
          </w:p>
        </w:tc>
        <w:tc>
          <w:tcPr>
            <w:tcW w:w="2376" w:type="dxa"/>
            <w:tcBorders>
              <w:top w:val="single" w:sz="4" w:space="0" w:color="A6A6A6"/>
              <w:left w:val="single" w:sz="4" w:space="0" w:color="A6A6A6"/>
              <w:bottom w:val="single" w:sz="4" w:space="0" w:color="A6A6A6"/>
              <w:right w:val="single" w:sz="4" w:space="0" w:color="A6A6A6"/>
            </w:tcBorders>
          </w:tcPr>
          <w:p w14:paraId="4C7DE595" w14:textId="77777777" w:rsidR="00B2192D" w:rsidRDefault="00A07BB6">
            <w:pPr>
              <w:spacing w:after="40" w:line="240" w:lineRule="auto"/>
            </w:pPr>
            <w:r>
              <w:rPr>
                <w:b/>
                <w:sz w:val="19"/>
              </w:rPr>
              <w:t>Endpoint Detection and Response (EDR/XDR)</w:t>
            </w:r>
          </w:p>
        </w:tc>
        <w:tc>
          <w:tcPr>
            <w:tcW w:w="3384" w:type="dxa"/>
            <w:tcBorders>
              <w:top w:val="single" w:sz="4" w:space="0" w:color="A6A6A6"/>
              <w:left w:val="single" w:sz="4" w:space="0" w:color="A6A6A6"/>
              <w:bottom w:val="single" w:sz="4" w:space="0" w:color="A6A6A6"/>
              <w:right w:val="single" w:sz="4" w:space="0" w:color="A6A6A6"/>
            </w:tcBorders>
          </w:tcPr>
          <w:p w14:paraId="14DD5814" w14:textId="77777777" w:rsidR="00B2192D" w:rsidRDefault="00A07BB6">
            <w:pPr>
              <w:spacing w:after="40" w:line="240" w:lineRule="auto"/>
            </w:pPr>
            <w:r>
              <w:rPr>
                <w:sz w:val="19"/>
              </w:rPr>
              <w:t>What is the approximate number of endpoints and servers to be covered by the EDR/XDR solution?</w:t>
            </w:r>
          </w:p>
        </w:tc>
        <w:tc>
          <w:tcPr>
            <w:tcW w:w="5688" w:type="dxa"/>
            <w:tcBorders>
              <w:top w:val="single" w:sz="4" w:space="0" w:color="A6A6A6"/>
              <w:left w:val="single" w:sz="4" w:space="0" w:color="A6A6A6"/>
              <w:bottom w:val="single" w:sz="4" w:space="0" w:color="A6A6A6"/>
              <w:right w:val="single" w:sz="4" w:space="0" w:color="A6A6A6"/>
            </w:tcBorders>
          </w:tcPr>
          <w:p w14:paraId="0A88ADAB" w14:textId="77777777" w:rsidR="00B2192D" w:rsidRDefault="00A07BB6">
            <w:pPr>
              <w:spacing w:after="40" w:line="240" w:lineRule="auto"/>
            </w:pPr>
            <w:r>
              <w:rPr>
                <w:sz w:val="19"/>
              </w:rPr>
              <w:t>Approximately 450 endpoints and approximately 80 servers across production and development environments. NHBRC currently does not have a disaster recovery environment.</w:t>
            </w:r>
          </w:p>
        </w:tc>
      </w:tr>
      <w:tr w:rsidR="00B2192D" w14:paraId="1ACB1A91"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67AD03CA" w14:textId="77777777" w:rsidR="00B2192D" w:rsidRDefault="00A07BB6">
            <w:pPr>
              <w:spacing w:after="40" w:line="240" w:lineRule="auto"/>
              <w:jc w:val="center"/>
            </w:pPr>
            <w:r>
              <w:rPr>
                <w:sz w:val="19"/>
              </w:rPr>
              <w:t>3</w:t>
            </w:r>
          </w:p>
        </w:tc>
        <w:tc>
          <w:tcPr>
            <w:tcW w:w="2376" w:type="dxa"/>
            <w:tcBorders>
              <w:top w:val="single" w:sz="4" w:space="0" w:color="A6A6A6"/>
              <w:left w:val="single" w:sz="4" w:space="0" w:color="A6A6A6"/>
              <w:bottom w:val="single" w:sz="4" w:space="0" w:color="A6A6A6"/>
              <w:right w:val="single" w:sz="4" w:space="0" w:color="A6A6A6"/>
            </w:tcBorders>
          </w:tcPr>
          <w:p w14:paraId="73773937" w14:textId="77777777" w:rsidR="00B2192D" w:rsidRDefault="00A07BB6">
            <w:pPr>
              <w:spacing w:after="40" w:line="240" w:lineRule="auto"/>
            </w:pPr>
            <w:r>
              <w:rPr>
                <w:b/>
                <w:sz w:val="19"/>
              </w:rPr>
              <w:t>Security Operations Centre (SOC) Services</w:t>
            </w:r>
          </w:p>
        </w:tc>
        <w:tc>
          <w:tcPr>
            <w:tcW w:w="3384" w:type="dxa"/>
            <w:tcBorders>
              <w:top w:val="single" w:sz="4" w:space="0" w:color="A6A6A6"/>
              <w:left w:val="single" w:sz="4" w:space="0" w:color="A6A6A6"/>
              <w:bottom w:val="single" w:sz="4" w:space="0" w:color="A6A6A6"/>
              <w:right w:val="single" w:sz="4" w:space="0" w:color="A6A6A6"/>
            </w:tcBorders>
          </w:tcPr>
          <w:p w14:paraId="3FDAF535" w14:textId="77777777" w:rsidR="00B2192D" w:rsidRDefault="00A07BB6">
            <w:pPr>
              <w:spacing w:after="40" w:line="240" w:lineRule="auto"/>
            </w:pPr>
            <w:r>
              <w:rPr>
                <w:sz w:val="19"/>
              </w:rPr>
              <w:t>What log sources must the managed SOC service be capable of receiving and analysing?</w:t>
            </w:r>
          </w:p>
        </w:tc>
        <w:tc>
          <w:tcPr>
            <w:tcW w:w="5688" w:type="dxa"/>
            <w:tcBorders>
              <w:top w:val="single" w:sz="4" w:space="0" w:color="A6A6A6"/>
              <w:left w:val="single" w:sz="4" w:space="0" w:color="A6A6A6"/>
              <w:bottom w:val="single" w:sz="4" w:space="0" w:color="A6A6A6"/>
              <w:right w:val="single" w:sz="4" w:space="0" w:color="A6A6A6"/>
            </w:tcBorders>
          </w:tcPr>
          <w:p w14:paraId="4DFDC067" w14:textId="77777777" w:rsidR="00B2192D" w:rsidRDefault="00A07BB6">
            <w:pPr>
              <w:spacing w:after="40" w:line="240" w:lineRule="auto"/>
            </w:pPr>
            <w:r>
              <w:rPr>
                <w:sz w:val="19"/>
              </w:rPr>
              <w:t>NHBRC requires a managed SOC service capable of receiving and analysing logs from on-premises infrastructure, cloud services, network devices, security appliances, applications, and Microsoft 365 services. Exact log volumes will not be disclosed; however, bidders should size their solutions to adequately support an organisation of NHBRC's scale and environment.</w:t>
            </w:r>
          </w:p>
        </w:tc>
      </w:tr>
      <w:tr w:rsidR="00B2192D" w14:paraId="27453E5E"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7CC6FCC5" w14:textId="77777777" w:rsidR="00B2192D" w:rsidRDefault="00A07BB6">
            <w:pPr>
              <w:spacing w:after="40" w:line="240" w:lineRule="auto"/>
              <w:jc w:val="center"/>
            </w:pPr>
            <w:r>
              <w:rPr>
                <w:sz w:val="19"/>
              </w:rPr>
              <w:t>4</w:t>
            </w:r>
          </w:p>
        </w:tc>
        <w:tc>
          <w:tcPr>
            <w:tcW w:w="2376" w:type="dxa"/>
            <w:tcBorders>
              <w:top w:val="single" w:sz="4" w:space="0" w:color="A6A6A6"/>
              <w:left w:val="single" w:sz="4" w:space="0" w:color="A6A6A6"/>
              <w:bottom w:val="single" w:sz="4" w:space="0" w:color="A6A6A6"/>
              <w:right w:val="single" w:sz="4" w:space="0" w:color="A6A6A6"/>
            </w:tcBorders>
          </w:tcPr>
          <w:p w14:paraId="78DC186F" w14:textId="77777777" w:rsidR="00B2192D" w:rsidRDefault="00A07BB6">
            <w:pPr>
              <w:spacing w:after="40" w:line="240" w:lineRule="auto"/>
            </w:pPr>
            <w:r>
              <w:rPr>
                <w:b/>
                <w:sz w:val="19"/>
              </w:rPr>
              <w:t>Cloud Environment</w:t>
            </w:r>
          </w:p>
        </w:tc>
        <w:tc>
          <w:tcPr>
            <w:tcW w:w="3384" w:type="dxa"/>
            <w:tcBorders>
              <w:top w:val="single" w:sz="4" w:space="0" w:color="A6A6A6"/>
              <w:left w:val="single" w:sz="4" w:space="0" w:color="A6A6A6"/>
              <w:bottom w:val="single" w:sz="4" w:space="0" w:color="A6A6A6"/>
              <w:right w:val="single" w:sz="4" w:space="0" w:color="A6A6A6"/>
            </w:tcBorders>
          </w:tcPr>
          <w:p w14:paraId="2EA258BB" w14:textId="77777777" w:rsidR="00B2192D" w:rsidRDefault="00A07BB6">
            <w:pPr>
              <w:spacing w:after="40" w:line="240" w:lineRule="auto"/>
            </w:pPr>
            <w:r>
              <w:rPr>
                <w:sz w:val="19"/>
              </w:rPr>
              <w:t>What cloud platform, workloads, compute footprint and existing cloud security controls are currently in use?</w:t>
            </w:r>
          </w:p>
        </w:tc>
        <w:tc>
          <w:tcPr>
            <w:tcW w:w="5688" w:type="dxa"/>
            <w:tcBorders>
              <w:top w:val="single" w:sz="4" w:space="0" w:color="A6A6A6"/>
              <w:left w:val="single" w:sz="4" w:space="0" w:color="A6A6A6"/>
              <w:bottom w:val="single" w:sz="4" w:space="0" w:color="A6A6A6"/>
              <w:right w:val="single" w:sz="4" w:space="0" w:color="A6A6A6"/>
            </w:tcBorders>
          </w:tcPr>
          <w:p w14:paraId="2532C1E5" w14:textId="77777777" w:rsidR="00B2192D" w:rsidRDefault="00A07BB6">
            <w:pPr>
              <w:spacing w:after="40" w:line="240" w:lineRule="auto"/>
            </w:pPr>
            <w:r>
              <w:rPr>
                <w:sz w:val="19"/>
              </w:rPr>
              <w:t>Cloud Provider: Microsoft Azure.</w:t>
            </w:r>
            <w:r>
              <w:rPr>
                <w:sz w:val="19"/>
              </w:rPr>
              <w:br/>
            </w:r>
            <w:r>
              <w:rPr>
                <w:sz w:val="19"/>
              </w:rPr>
              <w:br/>
              <w:t>Approximately 50 cloud workloads.</w:t>
            </w:r>
            <w:r>
              <w:rPr>
                <w:sz w:val="19"/>
              </w:rPr>
              <w:br/>
            </w:r>
            <w:r>
              <w:rPr>
                <w:sz w:val="19"/>
              </w:rPr>
              <w:br/>
              <w:t>Estimated compute footprint: approximately 60 virtual machines and supporting platform services.</w:t>
            </w:r>
            <w:r>
              <w:rPr>
                <w:sz w:val="19"/>
              </w:rPr>
              <w:br/>
            </w:r>
            <w:r>
              <w:rPr>
                <w:sz w:val="19"/>
              </w:rPr>
              <w:br/>
              <w:t>Existing cloud security controls include Microsoft Defender for Cloud, Microsoft Entra ID security controls, Conditional Access Policies, Multi-Factor Authentication (MFA), and Azure security recommendations and monitoring.</w:t>
            </w:r>
          </w:p>
        </w:tc>
      </w:tr>
      <w:tr w:rsidR="00B2192D" w14:paraId="1B4DCD7C"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26765D43" w14:textId="77777777" w:rsidR="00B2192D" w:rsidRDefault="00A07BB6">
            <w:pPr>
              <w:spacing w:after="40" w:line="240" w:lineRule="auto"/>
              <w:jc w:val="center"/>
            </w:pPr>
            <w:r>
              <w:rPr>
                <w:sz w:val="19"/>
              </w:rPr>
              <w:t>5</w:t>
            </w:r>
          </w:p>
        </w:tc>
        <w:tc>
          <w:tcPr>
            <w:tcW w:w="2376" w:type="dxa"/>
            <w:tcBorders>
              <w:top w:val="single" w:sz="4" w:space="0" w:color="A6A6A6"/>
              <w:left w:val="single" w:sz="4" w:space="0" w:color="A6A6A6"/>
              <w:bottom w:val="single" w:sz="4" w:space="0" w:color="A6A6A6"/>
              <w:right w:val="single" w:sz="4" w:space="0" w:color="A6A6A6"/>
            </w:tcBorders>
          </w:tcPr>
          <w:p w14:paraId="25E4A743" w14:textId="77777777" w:rsidR="00B2192D" w:rsidRDefault="00A07BB6">
            <w:pPr>
              <w:spacing w:after="40" w:line="240" w:lineRule="auto"/>
            </w:pPr>
            <w:r>
              <w:rPr>
                <w:b/>
                <w:sz w:val="19"/>
              </w:rPr>
              <w:t>Multifactor Authentication (MFA)</w:t>
            </w:r>
          </w:p>
        </w:tc>
        <w:tc>
          <w:tcPr>
            <w:tcW w:w="3384" w:type="dxa"/>
            <w:tcBorders>
              <w:top w:val="single" w:sz="4" w:space="0" w:color="A6A6A6"/>
              <w:left w:val="single" w:sz="4" w:space="0" w:color="A6A6A6"/>
              <w:bottom w:val="single" w:sz="4" w:space="0" w:color="A6A6A6"/>
              <w:right w:val="single" w:sz="4" w:space="0" w:color="A6A6A6"/>
            </w:tcBorders>
          </w:tcPr>
          <w:p w14:paraId="4FF17999" w14:textId="77777777" w:rsidR="00B2192D" w:rsidRDefault="00A07BB6">
            <w:pPr>
              <w:spacing w:after="40" w:line="240" w:lineRule="auto"/>
            </w:pPr>
            <w:r>
              <w:rPr>
                <w:sz w:val="19"/>
              </w:rPr>
              <w:t>What MFA solution is currently in use, how many users require MFA, and are third-party solutions acceptable?</w:t>
            </w:r>
          </w:p>
        </w:tc>
        <w:tc>
          <w:tcPr>
            <w:tcW w:w="5688" w:type="dxa"/>
            <w:tcBorders>
              <w:top w:val="single" w:sz="4" w:space="0" w:color="A6A6A6"/>
              <w:left w:val="single" w:sz="4" w:space="0" w:color="A6A6A6"/>
              <w:bottom w:val="single" w:sz="4" w:space="0" w:color="A6A6A6"/>
              <w:right w:val="single" w:sz="4" w:space="0" w:color="A6A6A6"/>
            </w:tcBorders>
          </w:tcPr>
          <w:p w14:paraId="7DD2CEA0" w14:textId="77777777" w:rsidR="00B2192D" w:rsidRDefault="00A07BB6">
            <w:pPr>
              <w:spacing w:after="40" w:line="240" w:lineRule="auto"/>
            </w:pPr>
            <w:r>
              <w:rPr>
                <w:sz w:val="19"/>
              </w:rPr>
              <w:t>Current MFA solution: Microsoft Entra ID Multi-Factor Authentication.</w:t>
            </w:r>
            <w:r>
              <w:rPr>
                <w:sz w:val="19"/>
              </w:rPr>
              <w:br/>
            </w:r>
            <w:r>
              <w:rPr>
                <w:sz w:val="19"/>
              </w:rPr>
              <w:br/>
              <w:t>Approximately 450 users require MFA.</w:t>
            </w:r>
            <w:r>
              <w:rPr>
                <w:sz w:val="19"/>
              </w:rPr>
              <w:br/>
            </w:r>
            <w:r>
              <w:rPr>
                <w:sz w:val="19"/>
              </w:rPr>
              <w:br/>
              <w:t xml:space="preserve">Third-party MFA solutions may be proposed, provided that they integrate seamlessly with the existing Microsoft ecosystem and meet all security, compliance and functional requirements </w:t>
            </w:r>
            <w:r>
              <w:rPr>
                <w:sz w:val="19"/>
              </w:rPr>
              <w:lastRenderedPageBreak/>
              <w:t>specified in the RFP.</w:t>
            </w:r>
          </w:p>
        </w:tc>
      </w:tr>
      <w:tr w:rsidR="00B2192D" w14:paraId="7DF14B90"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12D0BD2E" w14:textId="77777777" w:rsidR="00B2192D" w:rsidRDefault="00A07BB6">
            <w:pPr>
              <w:spacing w:after="40" w:line="240" w:lineRule="auto"/>
              <w:jc w:val="center"/>
            </w:pPr>
            <w:r>
              <w:rPr>
                <w:sz w:val="19"/>
              </w:rPr>
              <w:lastRenderedPageBreak/>
              <w:t>6</w:t>
            </w:r>
          </w:p>
        </w:tc>
        <w:tc>
          <w:tcPr>
            <w:tcW w:w="2376" w:type="dxa"/>
            <w:tcBorders>
              <w:top w:val="single" w:sz="4" w:space="0" w:color="A6A6A6"/>
              <w:left w:val="single" w:sz="4" w:space="0" w:color="A6A6A6"/>
              <w:bottom w:val="single" w:sz="4" w:space="0" w:color="A6A6A6"/>
              <w:right w:val="single" w:sz="4" w:space="0" w:color="A6A6A6"/>
            </w:tcBorders>
          </w:tcPr>
          <w:p w14:paraId="6CF64ADA" w14:textId="77777777" w:rsidR="00B2192D" w:rsidRDefault="00A07BB6">
            <w:pPr>
              <w:spacing w:after="40" w:line="240" w:lineRule="auto"/>
            </w:pPr>
            <w:r>
              <w:rPr>
                <w:b/>
                <w:sz w:val="19"/>
              </w:rPr>
              <w:t>Web Application and API Security</w:t>
            </w:r>
          </w:p>
        </w:tc>
        <w:tc>
          <w:tcPr>
            <w:tcW w:w="3384" w:type="dxa"/>
            <w:tcBorders>
              <w:top w:val="single" w:sz="4" w:space="0" w:color="A6A6A6"/>
              <w:left w:val="single" w:sz="4" w:space="0" w:color="A6A6A6"/>
              <w:bottom w:val="single" w:sz="4" w:space="0" w:color="A6A6A6"/>
              <w:right w:val="single" w:sz="4" w:space="0" w:color="A6A6A6"/>
            </w:tcBorders>
          </w:tcPr>
          <w:p w14:paraId="3FA26F6D" w14:textId="77777777" w:rsidR="00B2192D" w:rsidRDefault="00A07BB6">
            <w:pPr>
              <w:spacing w:after="40" w:line="240" w:lineRule="auto"/>
            </w:pPr>
            <w:r>
              <w:rPr>
                <w:sz w:val="19"/>
              </w:rPr>
              <w:t>How many applications require protection and where are they hosted?</w:t>
            </w:r>
          </w:p>
        </w:tc>
        <w:tc>
          <w:tcPr>
            <w:tcW w:w="5688" w:type="dxa"/>
            <w:tcBorders>
              <w:top w:val="single" w:sz="4" w:space="0" w:color="A6A6A6"/>
              <w:left w:val="single" w:sz="4" w:space="0" w:color="A6A6A6"/>
              <w:bottom w:val="single" w:sz="4" w:space="0" w:color="A6A6A6"/>
              <w:right w:val="single" w:sz="4" w:space="0" w:color="A6A6A6"/>
            </w:tcBorders>
          </w:tcPr>
          <w:p w14:paraId="55998788" w14:textId="77777777" w:rsidR="00B2192D" w:rsidRDefault="00A07BB6">
            <w:pPr>
              <w:spacing w:after="40" w:line="240" w:lineRule="auto"/>
            </w:pPr>
            <w:r>
              <w:rPr>
                <w:sz w:val="19"/>
              </w:rPr>
              <w:t>Approximately 8 public-facing and internal business applications require protection.</w:t>
            </w:r>
            <w:r>
              <w:rPr>
                <w:sz w:val="19"/>
              </w:rPr>
              <w:br/>
            </w:r>
            <w:r>
              <w:rPr>
                <w:sz w:val="19"/>
              </w:rPr>
              <w:br/>
              <w:t>Hosting is a hybrid deployment comprising on-premises hosting, third-party hosting and Microsoft Azure-hosted workloads.</w:t>
            </w:r>
          </w:p>
        </w:tc>
      </w:tr>
      <w:tr w:rsidR="00B2192D" w14:paraId="7ACB1FE3"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2CECC761" w14:textId="77777777" w:rsidR="00B2192D" w:rsidRDefault="00A07BB6">
            <w:pPr>
              <w:spacing w:after="40" w:line="240" w:lineRule="auto"/>
              <w:jc w:val="center"/>
            </w:pPr>
            <w:r>
              <w:rPr>
                <w:sz w:val="19"/>
              </w:rPr>
              <w:t>7</w:t>
            </w:r>
          </w:p>
        </w:tc>
        <w:tc>
          <w:tcPr>
            <w:tcW w:w="2376" w:type="dxa"/>
            <w:tcBorders>
              <w:top w:val="single" w:sz="4" w:space="0" w:color="A6A6A6"/>
              <w:left w:val="single" w:sz="4" w:space="0" w:color="A6A6A6"/>
              <w:bottom w:val="single" w:sz="4" w:space="0" w:color="A6A6A6"/>
              <w:right w:val="single" w:sz="4" w:space="0" w:color="A6A6A6"/>
            </w:tcBorders>
          </w:tcPr>
          <w:p w14:paraId="12A995A7" w14:textId="77777777" w:rsidR="00B2192D" w:rsidRDefault="00A07BB6">
            <w:pPr>
              <w:spacing w:after="40" w:line="240" w:lineRule="auto"/>
            </w:pPr>
            <w:r>
              <w:rPr>
                <w:b/>
                <w:sz w:val="19"/>
              </w:rPr>
              <w:t>Privileged Access Management (PAM)</w:t>
            </w:r>
          </w:p>
        </w:tc>
        <w:tc>
          <w:tcPr>
            <w:tcW w:w="3384" w:type="dxa"/>
            <w:tcBorders>
              <w:top w:val="single" w:sz="4" w:space="0" w:color="A6A6A6"/>
              <w:left w:val="single" w:sz="4" w:space="0" w:color="A6A6A6"/>
              <w:bottom w:val="single" w:sz="4" w:space="0" w:color="A6A6A6"/>
              <w:right w:val="single" w:sz="4" w:space="0" w:color="A6A6A6"/>
            </w:tcBorders>
          </w:tcPr>
          <w:p w14:paraId="0EDEF11A" w14:textId="77777777" w:rsidR="00B2192D" w:rsidRDefault="00A07BB6">
            <w:pPr>
              <w:spacing w:after="40" w:line="240" w:lineRule="auto"/>
            </w:pPr>
            <w:r>
              <w:rPr>
                <w:sz w:val="19"/>
              </w:rPr>
              <w:t>Approximately how many privileged users/accounts require PAM, and which systems require management?</w:t>
            </w:r>
          </w:p>
        </w:tc>
        <w:tc>
          <w:tcPr>
            <w:tcW w:w="5688" w:type="dxa"/>
            <w:tcBorders>
              <w:top w:val="single" w:sz="4" w:space="0" w:color="A6A6A6"/>
              <w:left w:val="single" w:sz="4" w:space="0" w:color="A6A6A6"/>
              <w:bottom w:val="single" w:sz="4" w:space="0" w:color="A6A6A6"/>
              <w:right w:val="single" w:sz="4" w:space="0" w:color="A6A6A6"/>
            </w:tcBorders>
          </w:tcPr>
          <w:p w14:paraId="19D42639" w14:textId="77777777" w:rsidR="00B2192D" w:rsidRDefault="00A07BB6">
            <w:pPr>
              <w:spacing w:after="40" w:line="240" w:lineRule="auto"/>
            </w:pPr>
            <w:r>
              <w:rPr>
                <w:sz w:val="19"/>
              </w:rPr>
              <w:t>Approximately 25 privileged accounts/users.</w:t>
            </w:r>
            <w:r>
              <w:rPr>
                <w:sz w:val="19"/>
              </w:rPr>
              <w:br/>
            </w:r>
            <w:r>
              <w:rPr>
                <w:sz w:val="19"/>
              </w:rPr>
              <w:br/>
            </w:r>
            <w:r>
              <w:rPr>
                <w:sz w:val="19"/>
              </w:rPr>
              <w:t>Systems requiring management include: Active Directory/Entra ID; Microsoft 365 administrative platforms; Azure resources; network security appliances; servers and databases; and business-critical applications.</w:t>
            </w:r>
          </w:p>
        </w:tc>
      </w:tr>
      <w:tr w:rsidR="00B2192D" w14:paraId="4395CD30"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5D9336BB" w14:textId="77777777" w:rsidR="00B2192D" w:rsidRDefault="00A07BB6">
            <w:pPr>
              <w:spacing w:after="40" w:line="240" w:lineRule="auto"/>
              <w:jc w:val="center"/>
            </w:pPr>
            <w:r>
              <w:rPr>
                <w:sz w:val="19"/>
              </w:rPr>
              <w:t>8</w:t>
            </w:r>
          </w:p>
        </w:tc>
        <w:tc>
          <w:tcPr>
            <w:tcW w:w="2376" w:type="dxa"/>
            <w:tcBorders>
              <w:top w:val="single" w:sz="4" w:space="0" w:color="A6A6A6"/>
              <w:left w:val="single" w:sz="4" w:space="0" w:color="A6A6A6"/>
              <w:bottom w:val="single" w:sz="4" w:space="0" w:color="A6A6A6"/>
              <w:right w:val="single" w:sz="4" w:space="0" w:color="A6A6A6"/>
            </w:tcBorders>
          </w:tcPr>
          <w:p w14:paraId="73A79A18" w14:textId="77777777" w:rsidR="00B2192D" w:rsidRDefault="00A07BB6">
            <w:pPr>
              <w:spacing w:after="40" w:line="240" w:lineRule="auto"/>
            </w:pPr>
            <w:r>
              <w:rPr>
                <w:b/>
                <w:sz w:val="19"/>
              </w:rPr>
              <w:t>Cloud Security Posture Management (CSPM), Workload Protection &amp; Cloud Identity Security</w:t>
            </w:r>
          </w:p>
        </w:tc>
        <w:tc>
          <w:tcPr>
            <w:tcW w:w="3384" w:type="dxa"/>
            <w:tcBorders>
              <w:top w:val="single" w:sz="4" w:space="0" w:color="A6A6A6"/>
              <w:left w:val="single" w:sz="4" w:space="0" w:color="A6A6A6"/>
              <w:bottom w:val="single" w:sz="4" w:space="0" w:color="A6A6A6"/>
              <w:right w:val="single" w:sz="4" w:space="0" w:color="A6A6A6"/>
            </w:tcBorders>
          </w:tcPr>
          <w:p w14:paraId="7FCF75B6" w14:textId="77777777" w:rsidR="00B2192D" w:rsidRDefault="00A07BB6">
            <w:pPr>
              <w:spacing w:after="40" w:line="240" w:lineRule="auto"/>
            </w:pPr>
            <w:r>
              <w:rPr>
                <w:sz w:val="19"/>
              </w:rPr>
              <w:t>What is the approximate cloud environment footprint and development population requiring code security?</w:t>
            </w:r>
          </w:p>
        </w:tc>
        <w:tc>
          <w:tcPr>
            <w:tcW w:w="5688" w:type="dxa"/>
            <w:tcBorders>
              <w:top w:val="single" w:sz="4" w:space="0" w:color="A6A6A6"/>
              <w:left w:val="single" w:sz="4" w:space="0" w:color="A6A6A6"/>
              <w:bottom w:val="single" w:sz="4" w:space="0" w:color="A6A6A6"/>
              <w:right w:val="single" w:sz="4" w:space="0" w:color="A6A6A6"/>
            </w:tcBorders>
          </w:tcPr>
          <w:p w14:paraId="54E3D601" w14:textId="77777777" w:rsidR="00B2192D" w:rsidRDefault="00A07BB6">
            <w:pPr>
              <w:spacing w:after="40" w:line="240" w:lineRule="auto"/>
            </w:pPr>
            <w:r>
              <w:rPr>
                <w:sz w:val="19"/>
              </w:rPr>
              <w:t>Approximately 50 cloud workloads across approximately 3 Azure subscriptions. Approximately 10 contributing developers require code security capabilities.</w:t>
            </w:r>
          </w:p>
        </w:tc>
      </w:tr>
      <w:tr w:rsidR="00B2192D" w14:paraId="71E78081"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64ED88B2" w14:textId="77777777" w:rsidR="00B2192D" w:rsidRDefault="00A07BB6">
            <w:pPr>
              <w:spacing w:after="40" w:line="240" w:lineRule="auto"/>
              <w:jc w:val="center"/>
            </w:pPr>
            <w:r>
              <w:rPr>
                <w:sz w:val="19"/>
              </w:rPr>
              <w:t>9</w:t>
            </w:r>
          </w:p>
        </w:tc>
        <w:tc>
          <w:tcPr>
            <w:tcW w:w="2376" w:type="dxa"/>
            <w:tcBorders>
              <w:top w:val="single" w:sz="4" w:space="0" w:color="A6A6A6"/>
              <w:left w:val="single" w:sz="4" w:space="0" w:color="A6A6A6"/>
              <w:bottom w:val="single" w:sz="4" w:space="0" w:color="A6A6A6"/>
              <w:right w:val="single" w:sz="4" w:space="0" w:color="A6A6A6"/>
            </w:tcBorders>
          </w:tcPr>
          <w:p w14:paraId="07A201D7" w14:textId="77777777" w:rsidR="00B2192D" w:rsidRDefault="00A07BB6">
            <w:pPr>
              <w:spacing w:after="40" w:line="240" w:lineRule="auto"/>
            </w:pPr>
            <w:r>
              <w:rPr>
                <w:b/>
                <w:sz w:val="19"/>
              </w:rPr>
              <w:t>Security Awareness and Phishing Simulation</w:t>
            </w:r>
          </w:p>
        </w:tc>
        <w:tc>
          <w:tcPr>
            <w:tcW w:w="3384" w:type="dxa"/>
            <w:tcBorders>
              <w:top w:val="single" w:sz="4" w:space="0" w:color="A6A6A6"/>
              <w:left w:val="single" w:sz="4" w:space="0" w:color="A6A6A6"/>
              <w:bottom w:val="single" w:sz="4" w:space="0" w:color="A6A6A6"/>
              <w:right w:val="single" w:sz="4" w:space="0" w:color="A6A6A6"/>
            </w:tcBorders>
          </w:tcPr>
          <w:p w14:paraId="6D2D3B2B" w14:textId="77777777" w:rsidR="00B2192D" w:rsidRDefault="00A07BB6">
            <w:pPr>
              <w:spacing w:after="40" w:line="240" w:lineRule="auto"/>
            </w:pPr>
            <w:r>
              <w:rPr>
                <w:sz w:val="19"/>
              </w:rPr>
              <w:t>How many users/mailboxes should be covered by security awareness and phishing simulation services?</w:t>
            </w:r>
          </w:p>
        </w:tc>
        <w:tc>
          <w:tcPr>
            <w:tcW w:w="5688" w:type="dxa"/>
            <w:tcBorders>
              <w:top w:val="single" w:sz="4" w:space="0" w:color="A6A6A6"/>
              <w:left w:val="single" w:sz="4" w:space="0" w:color="A6A6A6"/>
              <w:bottom w:val="single" w:sz="4" w:space="0" w:color="A6A6A6"/>
              <w:right w:val="single" w:sz="4" w:space="0" w:color="A6A6A6"/>
            </w:tcBorders>
          </w:tcPr>
          <w:p w14:paraId="7B43C4F2" w14:textId="77777777" w:rsidR="00B2192D" w:rsidRDefault="00A07BB6">
            <w:pPr>
              <w:spacing w:after="40" w:line="240" w:lineRule="auto"/>
            </w:pPr>
            <w:r>
              <w:rPr>
                <w:sz w:val="19"/>
              </w:rPr>
              <w:t>Approximately 450 users/mailboxes.</w:t>
            </w:r>
          </w:p>
        </w:tc>
      </w:tr>
      <w:tr w:rsidR="00B2192D" w14:paraId="45EA9DDF" w14:textId="77777777">
        <w:trPr>
          <w:jc w:val="center"/>
        </w:trPr>
        <w:tc>
          <w:tcPr>
            <w:tcW w:w="605" w:type="dxa"/>
            <w:tcBorders>
              <w:top w:val="single" w:sz="4" w:space="0" w:color="A6A6A6"/>
              <w:left w:val="single" w:sz="4" w:space="0" w:color="A6A6A6"/>
              <w:bottom w:val="single" w:sz="4" w:space="0" w:color="A6A6A6"/>
              <w:right w:val="single" w:sz="4" w:space="0" w:color="A6A6A6"/>
            </w:tcBorders>
          </w:tcPr>
          <w:p w14:paraId="5939DA29" w14:textId="77777777" w:rsidR="00B2192D" w:rsidRDefault="00A07BB6">
            <w:pPr>
              <w:spacing w:after="40" w:line="240" w:lineRule="auto"/>
              <w:jc w:val="center"/>
            </w:pPr>
            <w:r>
              <w:rPr>
                <w:sz w:val="19"/>
              </w:rPr>
              <w:t>10</w:t>
            </w:r>
          </w:p>
        </w:tc>
        <w:tc>
          <w:tcPr>
            <w:tcW w:w="2376" w:type="dxa"/>
            <w:tcBorders>
              <w:top w:val="single" w:sz="4" w:space="0" w:color="A6A6A6"/>
              <w:left w:val="single" w:sz="4" w:space="0" w:color="A6A6A6"/>
              <w:bottom w:val="single" w:sz="4" w:space="0" w:color="A6A6A6"/>
              <w:right w:val="single" w:sz="4" w:space="0" w:color="A6A6A6"/>
            </w:tcBorders>
          </w:tcPr>
          <w:p w14:paraId="1B733622" w14:textId="77777777" w:rsidR="00B2192D" w:rsidRDefault="00A07BB6">
            <w:pPr>
              <w:spacing w:after="40" w:line="240" w:lineRule="auto"/>
            </w:pPr>
            <w:r>
              <w:rPr>
                <w:b/>
                <w:sz w:val="19"/>
              </w:rPr>
              <w:t>Collaboration Security</w:t>
            </w:r>
          </w:p>
        </w:tc>
        <w:tc>
          <w:tcPr>
            <w:tcW w:w="3384" w:type="dxa"/>
            <w:tcBorders>
              <w:top w:val="single" w:sz="4" w:space="0" w:color="A6A6A6"/>
              <w:left w:val="single" w:sz="4" w:space="0" w:color="A6A6A6"/>
              <w:bottom w:val="single" w:sz="4" w:space="0" w:color="A6A6A6"/>
              <w:right w:val="single" w:sz="4" w:space="0" w:color="A6A6A6"/>
            </w:tcBorders>
          </w:tcPr>
          <w:p w14:paraId="2DF064A9" w14:textId="77777777" w:rsidR="00B2192D" w:rsidRDefault="00A07BB6">
            <w:pPr>
              <w:spacing w:after="40" w:line="240" w:lineRule="auto"/>
            </w:pPr>
            <w:r>
              <w:rPr>
                <w:sz w:val="19"/>
              </w:rPr>
              <w:t>How many users and which Microsoft 365 collaboration services are currently in use?</w:t>
            </w:r>
          </w:p>
        </w:tc>
        <w:tc>
          <w:tcPr>
            <w:tcW w:w="5688" w:type="dxa"/>
            <w:tcBorders>
              <w:top w:val="single" w:sz="4" w:space="0" w:color="A6A6A6"/>
              <w:left w:val="single" w:sz="4" w:space="0" w:color="A6A6A6"/>
              <w:bottom w:val="single" w:sz="4" w:space="0" w:color="A6A6A6"/>
              <w:right w:val="single" w:sz="4" w:space="0" w:color="A6A6A6"/>
            </w:tcBorders>
          </w:tcPr>
          <w:p w14:paraId="7A52649C" w14:textId="77777777" w:rsidR="00B2192D" w:rsidRDefault="00A07BB6">
            <w:pPr>
              <w:spacing w:after="40" w:line="240" w:lineRule="auto"/>
            </w:pPr>
            <w:r>
              <w:rPr>
                <w:sz w:val="19"/>
              </w:rPr>
              <w:t>Approximately 450 users.</w:t>
            </w:r>
            <w:r>
              <w:rPr>
                <w:sz w:val="19"/>
              </w:rPr>
              <w:br/>
            </w:r>
            <w:r>
              <w:rPr>
                <w:sz w:val="19"/>
              </w:rPr>
              <w:br/>
            </w:r>
            <w:r>
              <w:rPr>
                <w:sz w:val="19"/>
              </w:rPr>
              <w:t>Microsoft 365 services currently in use include: Exchange Online, Microsoft Teams, SharePoint Online, OneDrive for Business and Microsoft Entra ID.</w:t>
            </w:r>
          </w:p>
        </w:tc>
      </w:tr>
    </w:tbl>
    <w:p w14:paraId="54B74EC0" w14:textId="77777777" w:rsidR="00346036" w:rsidRDefault="00346036"/>
    <w:sectPr w:rsidR="00346036" w:rsidSect="00F16F46">
      <w:footerReference w:type="default" r:id="rId8"/>
      <w:pgSz w:w="15840" w:h="12240" w:orient="landscape"/>
      <w:pgMar w:top="1008" w:right="936" w:bottom="100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28D5" w14:textId="77777777" w:rsidR="00A07BB6" w:rsidRDefault="00A07BB6">
      <w:pPr>
        <w:spacing w:after="0" w:line="240" w:lineRule="auto"/>
      </w:pPr>
      <w:r>
        <w:separator/>
      </w:r>
    </w:p>
  </w:endnote>
  <w:endnote w:type="continuationSeparator" w:id="0">
    <w:p w14:paraId="5EB62C19" w14:textId="77777777" w:rsidR="00A07BB6" w:rsidRDefault="00A0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0211" w14:textId="77777777" w:rsidR="00B2192D" w:rsidRDefault="00A07BB6">
    <w:pPr>
      <w:pStyle w:val="Footer"/>
      <w:jc w:val="center"/>
    </w:pPr>
    <w:r>
      <w:rPr>
        <w:sz w:val="16"/>
      </w:rPr>
      <w:t>NHBRC – Tender Clarification Schedule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7590" w14:textId="77777777" w:rsidR="00A07BB6" w:rsidRDefault="00A07BB6">
      <w:pPr>
        <w:spacing w:after="0" w:line="240" w:lineRule="auto"/>
      </w:pPr>
      <w:r>
        <w:separator/>
      </w:r>
    </w:p>
  </w:footnote>
  <w:footnote w:type="continuationSeparator" w:id="0">
    <w:p w14:paraId="53F276A2" w14:textId="77777777" w:rsidR="00A07BB6" w:rsidRDefault="00A07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2592070">
    <w:abstractNumId w:val="8"/>
  </w:num>
  <w:num w:numId="2" w16cid:durableId="525677426">
    <w:abstractNumId w:val="6"/>
  </w:num>
  <w:num w:numId="3" w16cid:durableId="1632780328">
    <w:abstractNumId w:val="5"/>
  </w:num>
  <w:num w:numId="4" w16cid:durableId="1237665340">
    <w:abstractNumId w:val="4"/>
  </w:num>
  <w:num w:numId="5" w16cid:durableId="1457141618">
    <w:abstractNumId w:val="7"/>
  </w:num>
  <w:num w:numId="6" w16cid:durableId="1154100375">
    <w:abstractNumId w:val="3"/>
  </w:num>
  <w:num w:numId="7" w16cid:durableId="639925076">
    <w:abstractNumId w:val="2"/>
  </w:num>
  <w:num w:numId="8" w16cid:durableId="1584679656">
    <w:abstractNumId w:val="1"/>
  </w:num>
  <w:num w:numId="9" w16cid:durableId="47371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2F1B"/>
    <w:rsid w:val="0029639D"/>
    <w:rsid w:val="00326F90"/>
    <w:rsid w:val="00346036"/>
    <w:rsid w:val="00A07BB6"/>
    <w:rsid w:val="00AA1D8D"/>
    <w:rsid w:val="00B2192D"/>
    <w:rsid w:val="00B47730"/>
    <w:rsid w:val="00BF448C"/>
    <w:rsid w:val="00CB0664"/>
    <w:rsid w:val="00E259D0"/>
    <w:rsid w:val="00F16F4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472453"/>
  <w14:defaultImageDpi w14:val="300"/>
  <w15:docId w15:val="{2AA41F89-B6C3-4AE3-9EF7-EC98DF3C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Kholofelo Ramphisa</dc:creator>
  <cp:keywords/>
  <dc:description>generated by python-docx</dc:description>
  <cp:lastModifiedBy>Kabelo Peter Phalane</cp:lastModifiedBy>
  <cp:revision>2</cp:revision>
  <dcterms:created xsi:type="dcterms:W3CDTF">2026-09-03T08:21:00Z</dcterms:created>
  <dcterms:modified xsi:type="dcterms:W3CDTF">2026-09-03T08:21:00Z</dcterms:modified>
  <cp:category/>
</cp:coreProperties>
</file>